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61233" w14:textId="77777777" w:rsidR="00AA3E40" w:rsidRPr="0097618B" w:rsidRDefault="00AA3E40" w:rsidP="00AA3E40">
      <w:pPr>
        <w:spacing w:after="0" w:line="240" w:lineRule="auto"/>
        <w:jc w:val="center"/>
        <w:rPr>
          <w:rFonts w:ascii="Aptos" w:hAnsi="Aptos"/>
          <w:b/>
          <w:bCs/>
          <w:sz w:val="28"/>
          <w:szCs w:val="28"/>
        </w:rPr>
      </w:pPr>
    </w:p>
    <w:p w14:paraId="63AF3445" w14:textId="77777777" w:rsidR="0097618B" w:rsidRPr="0097618B" w:rsidRDefault="0097618B" w:rsidP="0097618B">
      <w:pPr>
        <w:pStyle w:val="Heading1"/>
        <w:jc w:val="center"/>
        <w:rPr>
          <w:rFonts w:ascii="Aptos" w:hAnsi="Aptos"/>
          <w:b/>
          <w:bCs/>
        </w:rPr>
      </w:pPr>
      <w:r w:rsidRPr="0097618B">
        <w:rPr>
          <w:rFonts w:ascii="Aptos" w:hAnsi="Aptos"/>
          <w:b/>
          <w:bCs/>
        </w:rPr>
        <w:t>Cleaning Instructions for the explorē 5, explorē 8, and explorē 12</w:t>
      </w:r>
    </w:p>
    <w:p w14:paraId="10B73620" w14:textId="77777777" w:rsidR="0097618B" w:rsidRPr="0097618B" w:rsidRDefault="0097618B" w:rsidP="0097618B">
      <w:pPr>
        <w:rPr>
          <w:rFonts w:ascii="Aptos" w:hAnsi="Aptos"/>
        </w:rPr>
      </w:pPr>
    </w:p>
    <w:p w14:paraId="53751A60" w14:textId="08C1DFE6" w:rsidR="0097618B" w:rsidRPr="0097618B" w:rsidRDefault="0097618B" w:rsidP="0097618B">
      <w:pPr>
        <w:rPr>
          <w:rFonts w:ascii="Aptos" w:hAnsi="Aptos"/>
        </w:rPr>
      </w:pPr>
      <w:r w:rsidRPr="0097618B">
        <w:rPr>
          <w:rFonts w:ascii="Aptos" w:hAnsi="Aptos"/>
        </w:rPr>
        <w:t>The explorē 5, explorē 8, and explorē 12 are handheld and portable electronic magnifiers built around an integrated screen and camera. Because these devices are shared between patients in a clinical setting, follow the general steps below to clean and disinfect them between each use. Steps that apply to only one or two models are noted.</w:t>
      </w:r>
    </w:p>
    <w:p w14:paraId="4E81B083" w14:textId="77777777" w:rsidR="0097618B" w:rsidRPr="0097618B" w:rsidRDefault="0097618B" w:rsidP="0097618B">
      <w:pPr>
        <w:pStyle w:val="Heading2"/>
        <w:rPr>
          <w:rFonts w:ascii="Aptos" w:hAnsi="Aptos"/>
          <w:b/>
          <w:bCs/>
        </w:rPr>
      </w:pPr>
      <w:r w:rsidRPr="0097618B">
        <w:rPr>
          <w:rFonts w:ascii="Aptos" w:hAnsi="Aptos"/>
          <w:b/>
          <w:bCs/>
        </w:rPr>
        <w:t>Before you begin</w:t>
      </w:r>
    </w:p>
    <w:p w14:paraId="605D710C"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Power off the device completely, or put it to sleep per your facility’s protocol, before cleaning.</w:t>
      </w:r>
    </w:p>
    <w:p w14:paraId="7BC6C2EE"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Disconnect the device from its charging cable and unplug it from wall power where practical.</w:t>
      </w:r>
    </w:p>
    <w:p w14:paraId="1331220B"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Avoid touching the charging port or video output port with a wet cloth or wipe.</w:t>
      </w:r>
    </w:p>
    <w:p w14:paraId="5EF3C3F4"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Have on hand an EPA-registered disinfectant wipe suitable for electronics (or a soft cloth lightly dampened with mild soap and water), plus a dry microfiber cloth. Each device ships with its own microfiber cloth.</w:t>
      </w:r>
    </w:p>
    <w:p w14:paraId="48B15E2D" w14:textId="77777777" w:rsidR="0097618B" w:rsidRPr="0097618B" w:rsidRDefault="0097618B" w:rsidP="0097618B">
      <w:pPr>
        <w:pStyle w:val="Heading2"/>
        <w:rPr>
          <w:rFonts w:ascii="Aptos" w:hAnsi="Aptos"/>
          <w:b/>
          <w:bCs/>
        </w:rPr>
      </w:pPr>
      <w:r w:rsidRPr="0097618B">
        <w:rPr>
          <w:rFonts w:ascii="Aptos" w:hAnsi="Aptos"/>
          <w:b/>
          <w:bCs/>
        </w:rPr>
        <w:t>Screen and housing (all models)</w:t>
      </w:r>
    </w:p>
    <w:p w14:paraId="5776CBD3"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Wipe the housing, back panel, and edges with a disinfectant wipe or a cloth dampened with mild soap and water.</w:t>
      </w:r>
    </w:p>
    <w:p w14:paraId="03763193"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Clean the screen with a soft, dry microfiber cloth. If a wipe is needed, use one labeled safe for electronic displays and avoid letting liquid pool along the screen edges or bezel.</w:t>
      </w:r>
    </w:p>
    <w:p w14:paraId="685898A9"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Never spray liquid directly onto the screen or housing. Apply it to the cloth or wipe first, then wipe the surface.</w:t>
      </w:r>
    </w:p>
    <w:p w14:paraId="29E57771"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Avoid ammonia-based glass cleaners and abrasive materials, which can damage the screen’s coating.</w:t>
      </w:r>
    </w:p>
    <w:p w14:paraId="6324010A" w14:textId="33E9A58A"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Keep moisture away from the USB-C charging port</w:t>
      </w:r>
      <w:r>
        <w:rPr>
          <w:rFonts w:ascii="Aptos" w:hAnsi="Aptos"/>
        </w:rPr>
        <w:t xml:space="preserve"> and</w:t>
      </w:r>
      <w:r w:rsidRPr="0097618B">
        <w:rPr>
          <w:rFonts w:ascii="Aptos" w:hAnsi="Aptos"/>
        </w:rPr>
        <w:t xml:space="preserve"> video output port.</w:t>
      </w:r>
    </w:p>
    <w:p w14:paraId="7748D869"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Let all surfaces air dry fully before powering the unit back on or inviting the next patient to use it.</w:t>
      </w:r>
    </w:p>
    <w:p w14:paraId="40A3370B" w14:textId="77777777" w:rsidR="0097618B" w:rsidRPr="0097618B" w:rsidRDefault="0097618B" w:rsidP="0097618B">
      <w:pPr>
        <w:pStyle w:val="Heading2"/>
        <w:rPr>
          <w:rFonts w:ascii="Aptos" w:hAnsi="Aptos"/>
          <w:b/>
          <w:bCs/>
        </w:rPr>
      </w:pPr>
      <w:r w:rsidRPr="0097618B">
        <w:rPr>
          <w:rFonts w:ascii="Aptos" w:hAnsi="Aptos"/>
          <w:b/>
          <w:bCs/>
        </w:rPr>
        <w:t>Buttons and touch controls</w:t>
      </w:r>
    </w:p>
    <w:p w14:paraId="5083876C" w14:textId="5F5DD2D8"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explorē 5</w:t>
      </w:r>
      <w:r>
        <w:rPr>
          <w:rFonts w:ascii="Aptos" w:hAnsi="Aptos"/>
        </w:rPr>
        <w:t>, 8, and 12</w:t>
      </w:r>
      <w:r w:rsidRPr="0097618B">
        <w:rPr>
          <w:rFonts w:ascii="Aptos" w:hAnsi="Aptos"/>
        </w:rPr>
        <w:t>: Wipe the large control buttons with a disinfectant wipe or a cloth dampened with mild soap and water, taking care not to let moisture seep around the button edges.</w:t>
      </w:r>
    </w:p>
    <w:p w14:paraId="60EF1FB0"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 xml:space="preserve">explorē 8 and explorē 12: The touchscreen doubles as the primary control. Clean it using the screen guidance </w:t>
      </w:r>
      <w:proofErr w:type="gramStart"/>
      <w:r w:rsidRPr="0097618B">
        <w:rPr>
          <w:rFonts w:ascii="Aptos" w:hAnsi="Aptos"/>
        </w:rPr>
        <w:t>above, and</w:t>
      </w:r>
      <w:proofErr w:type="gramEnd"/>
      <w:r w:rsidRPr="0097618B">
        <w:rPr>
          <w:rFonts w:ascii="Aptos" w:hAnsi="Aptos"/>
        </w:rPr>
        <w:t xml:space="preserve"> avoid pressing hard enough to scratch the touch surface.</w:t>
      </w:r>
    </w:p>
    <w:p w14:paraId="509F7A87" w14:textId="77777777" w:rsidR="0097618B" w:rsidRPr="0097618B" w:rsidRDefault="0097618B" w:rsidP="0097618B">
      <w:pPr>
        <w:pStyle w:val="Heading2"/>
        <w:rPr>
          <w:rFonts w:ascii="Aptos" w:hAnsi="Aptos"/>
          <w:b/>
          <w:bCs/>
        </w:rPr>
      </w:pPr>
      <w:r w:rsidRPr="0097618B">
        <w:rPr>
          <w:rFonts w:ascii="Aptos" w:hAnsi="Aptos"/>
          <w:b/>
          <w:bCs/>
        </w:rPr>
        <w:t>Integrated camera(s)</w:t>
      </w:r>
    </w:p>
    <w:p w14:paraId="112C73D9"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Clean the camera lens only with a dry, soft microfiber cloth, using gentle circular motions from the center outward. Keep liquid away from the lens.</w:t>
      </w:r>
    </w:p>
    <w:p w14:paraId="71650766"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Wipe the area surrounding the lens with a disinfectant wipe or a cloth dampened with mild soap and water, keeping liquid away from the lens itself.</w:t>
      </w:r>
    </w:p>
    <w:p w14:paraId="4BD9BD67"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explorē 8 and explorē 12 each have two integrated cameras; clean both lenses using the same method.</w:t>
      </w:r>
    </w:p>
    <w:p w14:paraId="7B44013D"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Never submerge the device, spray cleaner directly onto the camera, or use paper towels or abrasive materials on the lens, as this can scratch the lens coating and affect image quality.</w:t>
      </w:r>
    </w:p>
    <w:p w14:paraId="38504559" w14:textId="77777777" w:rsidR="0097618B" w:rsidRPr="0097618B" w:rsidRDefault="0097618B">
      <w:pPr>
        <w:rPr>
          <w:rFonts w:ascii="Aptos" w:eastAsia="Times New Roman" w:hAnsi="Aptos" w:cs="Times New Roman"/>
          <w:color w:val="2E74B5"/>
          <w:sz w:val="26"/>
          <w:szCs w:val="26"/>
          <w:lang w:val="en-US"/>
        </w:rPr>
      </w:pPr>
      <w:r w:rsidRPr="0097618B">
        <w:rPr>
          <w:rFonts w:ascii="Aptos" w:hAnsi="Aptos"/>
        </w:rPr>
        <w:br w:type="page"/>
      </w:r>
    </w:p>
    <w:p w14:paraId="7AF085C8" w14:textId="41851C54" w:rsidR="0097618B" w:rsidRPr="0097618B" w:rsidRDefault="0097618B" w:rsidP="0097618B">
      <w:pPr>
        <w:pStyle w:val="Heading2"/>
        <w:rPr>
          <w:rFonts w:ascii="Aptos" w:hAnsi="Aptos"/>
          <w:b/>
          <w:bCs/>
        </w:rPr>
      </w:pPr>
      <w:r>
        <w:rPr>
          <w:rFonts w:ascii="Aptos" w:hAnsi="Aptos"/>
          <w:b/>
          <w:bCs/>
        </w:rPr>
        <w:lastRenderedPageBreak/>
        <w:t>Units, r</w:t>
      </w:r>
      <w:r w:rsidRPr="0097618B">
        <w:rPr>
          <w:rFonts w:ascii="Aptos" w:hAnsi="Aptos"/>
          <w:b/>
          <w:bCs/>
        </w:rPr>
        <w:t>eading stand</w:t>
      </w:r>
      <w:r>
        <w:rPr>
          <w:rFonts w:ascii="Aptos" w:hAnsi="Aptos"/>
          <w:b/>
          <w:bCs/>
        </w:rPr>
        <w:t>s and handle</w:t>
      </w:r>
    </w:p>
    <w:p w14:paraId="784936F9" w14:textId="3CBF60AE"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Wipe the stand</w:t>
      </w:r>
      <w:r>
        <w:rPr>
          <w:rFonts w:ascii="Aptos" w:hAnsi="Aptos"/>
        </w:rPr>
        <w:t>’s built-in (explorē 5, 8, and 12) and external (explorē 8 and 12) surfaces</w:t>
      </w:r>
      <w:r w:rsidRPr="0097618B">
        <w:rPr>
          <w:rFonts w:ascii="Aptos" w:hAnsi="Aptos"/>
        </w:rPr>
        <w:t xml:space="preserve"> and folding hinges with a disinfectant wipe or a cloth dampened with mild soap and water.</w:t>
      </w:r>
    </w:p>
    <w:p w14:paraId="2BCEEF43" w14:textId="60EAAEA0"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 xml:space="preserve">explorē </w:t>
      </w:r>
      <w:r>
        <w:rPr>
          <w:rFonts w:ascii="Aptos" w:hAnsi="Aptos"/>
        </w:rPr>
        <w:t xml:space="preserve">5, 8, and </w:t>
      </w:r>
      <w:r w:rsidRPr="0097618B">
        <w:rPr>
          <w:rFonts w:ascii="Aptos" w:hAnsi="Aptos"/>
        </w:rPr>
        <w:t>12: Keep moisture away from the stand’s built-in LED lighting elements.</w:t>
      </w:r>
    </w:p>
    <w:p w14:paraId="3CBD9A1B"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Let the stand dry completely before folding it closed or repacking it in the carrying case.</w:t>
      </w:r>
    </w:p>
    <w:p w14:paraId="50CDE38F" w14:textId="77777777" w:rsidR="0097618B" w:rsidRPr="0097618B" w:rsidRDefault="0097618B" w:rsidP="0097618B">
      <w:pPr>
        <w:pStyle w:val="Heading2"/>
        <w:rPr>
          <w:rFonts w:ascii="Aptos" w:hAnsi="Aptos"/>
          <w:b/>
          <w:bCs/>
        </w:rPr>
      </w:pPr>
      <w:r w:rsidRPr="0097618B">
        <w:rPr>
          <w:rFonts w:ascii="Aptos" w:hAnsi="Aptos"/>
          <w:b/>
          <w:bCs/>
        </w:rPr>
        <w:t>Carrying case and accessories</w:t>
      </w:r>
    </w:p>
    <w:p w14:paraId="059FD86B" w14:textId="74593D0E"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Wipe exterior surfaces of the carrying case</w:t>
      </w:r>
      <w:r>
        <w:rPr>
          <w:rFonts w:ascii="Aptos" w:hAnsi="Aptos"/>
        </w:rPr>
        <w:t>s</w:t>
      </w:r>
      <w:r w:rsidRPr="0097618B">
        <w:rPr>
          <w:rFonts w:ascii="Aptos" w:hAnsi="Aptos"/>
        </w:rPr>
        <w:t xml:space="preserve"> with a disinfectant wipe as </w:t>
      </w:r>
      <w:r w:rsidRPr="0097618B">
        <w:rPr>
          <w:rFonts w:ascii="Aptos" w:hAnsi="Aptos"/>
        </w:rPr>
        <w:t>needed and</w:t>
      </w:r>
      <w:r w:rsidRPr="0097618B">
        <w:rPr>
          <w:rFonts w:ascii="Aptos" w:hAnsi="Aptos"/>
        </w:rPr>
        <w:t xml:space="preserve"> let dry before repacking equipment.</w:t>
      </w:r>
    </w:p>
    <w:p w14:paraId="603E30D3"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Launder or replace the included microfiber cleaning cloth and screen protector per your facility’s protocol if visibly soiled.</w:t>
      </w:r>
    </w:p>
    <w:p w14:paraId="4CE3F215" w14:textId="77777777" w:rsidR="0097618B" w:rsidRPr="0097618B" w:rsidRDefault="0097618B" w:rsidP="0097618B">
      <w:pPr>
        <w:pStyle w:val="Heading2"/>
        <w:rPr>
          <w:rFonts w:ascii="Aptos" w:hAnsi="Aptos"/>
          <w:b/>
          <w:bCs/>
        </w:rPr>
      </w:pPr>
      <w:r w:rsidRPr="0097618B">
        <w:rPr>
          <w:rFonts w:ascii="Aptos" w:hAnsi="Aptos"/>
          <w:b/>
          <w:bCs/>
        </w:rPr>
        <w:t>Between patients: high-touch points</w:t>
      </w:r>
    </w:p>
    <w:p w14:paraId="5FCAEAE4"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Prioritize the screen, buttons or touchscreen surface, housing edges, and camera lens area, since these are the surfaces touched or viewed most often.</w:t>
      </w:r>
    </w:p>
    <w:p w14:paraId="06A20FD0"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Follow the disinfectant label’s recommended contact or dwell time before wiping the surface dry, if the product calls for one.</w:t>
      </w:r>
    </w:p>
    <w:p w14:paraId="12455005"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Allow all surfaces to dry completely before the next patient uses the device.</w:t>
      </w:r>
    </w:p>
    <w:p w14:paraId="081B7ECD" w14:textId="77777777" w:rsidR="0097618B" w:rsidRPr="0097618B" w:rsidRDefault="0097618B" w:rsidP="0097618B">
      <w:pPr>
        <w:pStyle w:val="Heading2"/>
        <w:rPr>
          <w:rFonts w:ascii="Aptos" w:hAnsi="Aptos"/>
          <w:b/>
          <w:bCs/>
        </w:rPr>
      </w:pPr>
      <w:r w:rsidRPr="0097618B">
        <w:rPr>
          <w:rFonts w:ascii="Aptos" w:hAnsi="Aptos"/>
          <w:b/>
          <w:bCs/>
        </w:rPr>
        <w:t>What to avoid</w:t>
      </w:r>
    </w:p>
    <w:p w14:paraId="21DC2DAE"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Ammonia, bleach, or glass cleaners on the screen or camera lens.</w:t>
      </w:r>
    </w:p>
    <w:p w14:paraId="16D13053"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Spraying cleaner directly onto any component. Apply it to a cloth or wipe first.</w:t>
      </w:r>
    </w:p>
    <w:p w14:paraId="723797E5"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 xml:space="preserve">Submerging any component in </w:t>
      </w:r>
      <w:proofErr w:type="gramStart"/>
      <w:r w:rsidRPr="0097618B">
        <w:rPr>
          <w:rFonts w:ascii="Aptos" w:hAnsi="Aptos"/>
        </w:rPr>
        <w:t>liquid, or</w:t>
      </w:r>
      <w:proofErr w:type="gramEnd"/>
      <w:r w:rsidRPr="0097618B">
        <w:rPr>
          <w:rFonts w:ascii="Aptos" w:hAnsi="Aptos"/>
        </w:rPr>
        <w:t xml:space="preserve"> using ultrasonic cleaners.</w:t>
      </w:r>
    </w:p>
    <w:p w14:paraId="59CB31CA"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Paper towels, tissues, or abrasive cloths on the screen or camera lens.</w:t>
      </w:r>
    </w:p>
    <w:p w14:paraId="6341E720" w14:textId="77777777" w:rsidR="0097618B" w:rsidRPr="0097618B" w:rsidRDefault="0097618B" w:rsidP="0097618B">
      <w:pPr>
        <w:pStyle w:val="ListParagraph"/>
        <w:numPr>
          <w:ilvl w:val="0"/>
          <w:numId w:val="8"/>
        </w:numPr>
        <w:spacing w:after="120" w:line="240" w:lineRule="auto"/>
        <w:contextualSpacing w:val="0"/>
        <w:rPr>
          <w:rFonts w:ascii="Aptos" w:hAnsi="Aptos"/>
        </w:rPr>
      </w:pPr>
      <w:r w:rsidRPr="0097618B">
        <w:rPr>
          <w:rFonts w:ascii="Aptos" w:hAnsi="Aptos"/>
        </w:rPr>
        <w:t>Cleaning the device while it is powered on and in use, or while connected to a charger.</w:t>
      </w:r>
    </w:p>
    <w:p w14:paraId="250EC9A6" w14:textId="77777777" w:rsidR="0097618B" w:rsidRPr="0097618B" w:rsidRDefault="0097618B" w:rsidP="0097618B">
      <w:pPr>
        <w:rPr>
          <w:rFonts w:ascii="Aptos" w:hAnsi="Aptos"/>
        </w:rPr>
      </w:pPr>
    </w:p>
    <w:p w14:paraId="724CA12C" w14:textId="35962BF6" w:rsidR="0097618B" w:rsidRDefault="0097618B" w:rsidP="0097618B">
      <w:pPr>
        <w:rPr>
          <w:rFonts w:ascii="Aptos" w:hAnsi="Aptos"/>
          <w:sz w:val="20"/>
          <w:szCs w:val="20"/>
        </w:rPr>
      </w:pPr>
      <w:r w:rsidRPr="0097618B">
        <w:rPr>
          <w:rFonts w:ascii="Aptos" w:hAnsi="Aptos"/>
          <w:b/>
          <w:bCs/>
          <w:sz w:val="20"/>
          <w:szCs w:val="20"/>
        </w:rPr>
        <w:t>Note:</w:t>
      </w:r>
      <w:r w:rsidRPr="0097618B">
        <w:rPr>
          <w:rFonts w:ascii="Aptos" w:hAnsi="Aptos"/>
          <w:sz w:val="20"/>
          <w:szCs w:val="20"/>
        </w:rPr>
        <w:t xml:space="preserve"> The explorē 5, explorē 8, and explorē 12 are HumanWare products. The steps above reflect general practices commonly used for cleaning shared handheld and portable electronic devices in a clinical setting. They do not replace instructions, warranty terms, or safety guidance published by HumanWare, and they do not override your facility’s own infection control protocols. Where manufacturer guidance and facility protocol are available, follow those first.</w:t>
      </w:r>
    </w:p>
    <w:p w14:paraId="5D215215" w14:textId="77777777" w:rsidR="0097618B" w:rsidRDefault="0097618B">
      <w:pPr>
        <w:rPr>
          <w:rFonts w:ascii="Aptos" w:hAnsi="Aptos"/>
          <w:sz w:val="20"/>
          <w:szCs w:val="20"/>
        </w:rPr>
      </w:pPr>
      <w:r>
        <w:rPr>
          <w:rFonts w:ascii="Aptos" w:hAnsi="Aptos"/>
          <w:sz w:val="20"/>
          <w:szCs w:val="20"/>
        </w:rPr>
        <w:br w:type="page"/>
      </w:r>
    </w:p>
    <w:p w14:paraId="5ECA37FC" w14:textId="77777777" w:rsidR="00AF71CE" w:rsidRPr="00AF71CE" w:rsidRDefault="00AF71CE" w:rsidP="00AF71CE">
      <w:pPr>
        <w:spacing w:after="0" w:line="240" w:lineRule="auto"/>
        <w:jc w:val="center"/>
        <w:outlineLvl w:val="0"/>
        <w:rPr>
          <w:rFonts w:ascii="Aptos" w:eastAsia="Times New Roman" w:hAnsi="Aptos" w:cs="Times New Roman"/>
          <w:b/>
          <w:bCs/>
          <w:color w:val="2E74B5"/>
          <w:sz w:val="32"/>
          <w:szCs w:val="32"/>
          <w:lang w:val="fr-CA"/>
        </w:rPr>
      </w:pPr>
      <w:r w:rsidRPr="00AF71CE">
        <w:rPr>
          <w:rFonts w:ascii="Aptos" w:eastAsia="Times New Roman" w:hAnsi="Aptos" w:cs="Times New Roman"/>
          <w:b/>
          <w:bCs/>
          <w:color w:val="2E74B5"/>
          <w:sz w:val="32"/>
          <w:szCs w:val="32"/>
          <w:lang w:val="fr-CA"/>
        </w:rPr>
        <w:lastRenderedPageBreak/>
        <w:t>Directives de nettoyage pour les explorē 5, explorē 8 et explorē 12</w:t>
      </w:r>
    </w:p>
    <w:p w14:paraId="55526505" w14:textId="77777777" w:rsidR="00AF71CE" w:rsidRDefault="00AF71CE" w:rsidP="00AF71CE">
      <w:pPr>
        <w:spacing w:line="240" w:lineRule="auto"/>
        <w:rPr>
          <w:rFonts w:ascii="Aptos" w:eastAsia="Times New Roman" w:hAnsi="Aptos" w:cs="Times New Roman"/>
          <w:sz w:val="20"/>
          <w:szCs w:val="20"/>
          <w:lang w:val="fr-CA"/>
        </w:rPr>
      </w:pPr>
    </w:p>
    <w:p w14:paraId="0ED2A880" w14:textId="273FCAC3" w:rsidR="00AF71CE" w:rsidRPr="00AF71CE" w:rsidRDefault="00AF71CE" w:rsidP="00AF71CE">
      <w:pPr>
        <w:spacing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Les explorē 5, explorē 8 et explorē 12 sont des loupes électroniques portatives dotées d’un écran et d’une caméra intégrés. Puisque ces appareils sont partagés entre les patients dans un contexte clinique, suivez les étapes générales ci-dessous pour les nettoyer et les désinfecter entre chaque utilisation. Les étapes qui s’appliquent à un ou deux modèles seulement sont indiquées.</w:t>
      </w:r>
    </w:p>
    <w:p w14:paraId="4296E3D5" w14:textId="77777777" w:rsidR="00AF71CE" w:rsidRPr="00AF71CE" w:rsidRDefault="00AF71CE" w:rsidP="00AF71CE">
      <w:pPr>
        <w:spacing w:after="0" w:line="240" w:lineRule="auto"/>
        <w:outlineLvl w:val="1"/>
        <w:rPr>
          <w:rFonts w:ascii="Aptos" w:eastAsia="Times New Roman" w:hAnsi="Aptos" w:cs="Times New Roman"/>
          <w:b/>
          <w:bCs/>
          <w:color w:val="2E74B5"/>
          <w:sz w:val="24"/>
          <w:szCs w:val="24"/>
          <w:lang w:val="en-US"/>
        </w:rPr>
      </w:pPr>
      <w:r w:rsidRPr="00AF71CE">
        <w:rPr>
          <w:rFonts w:ascii="Aptos" w:eastAsia="Times New Roman" w:hAnsi="Aptos" w:cs="Times New Roman"/>
          <w:b/>
          <w:bCs/>
          <w:color w:val="2E74B5"/>
          <w:sz w:val="24"/>
          <w:szCs w:val="24"/>
          <w:lang w:val="en-US"/>
        </w:rPr>
        <w:t>Avant de commencer</w:t>
      </w:r>
    </w:p>
    <w:p w14:paraId="31AF3819"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Éteignez complètement l’appareil, ou mettez-le en veille selon le protocole de votre établissement, avant de le nettoyer.</w:t>
      </w:r>
    </w:p>
    <w:p w14:paraId="2A07E921"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Débranchez l’appareil de son câble de charge et débranchez-le de la prise murale, si possible.</w:t>
      </w:r>
    </w:p>
    <w:p w14:paraId="0C876CDC"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Évitez de toucher au port de charge ou au port de sortie vidéo avec un chiffon ou une lingette humide.</w:t>
      </w:r>
    </w:p>
    <w:p w14:paraId="4267ED8B"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en-US"/>
        </w:rPr>
      </w:pPr>
      <w:r w:rsidRPr="00AF71CE">
        <w:rPr>
          <w:rFonts w:ascii="Aptos" w:eastAsia="Times New Roman" w:hAnsi="Aptos" w:cs="Times New Roman"/>
          <w:sz w:val="24"/>
          <w:szCs w:val="24"/>
          <w:lang w:val="fr-CA"/>
        </w:rPr>
        <w:t xml:space="preserve">Ayez à portée de main une lingette désinfectante homologuée par l’EPA et adaptée aux appareils électroniques (ou un chiffon doux légèrement humecté d’eau et de savon doux), ainsi qu’un chiffon microfibre sec. </w:t>
      </w:r>
      <w:proofErr w:type="spellStart"/>
      <w:r w:rsidRPr="00AF71CE">
        <w:rPr>
          <w:rFonts w:ascii="Aptos" w:eastAsia="Times New Roman" w:hAnsi="Aptos" w:cs="Times New Roman"/>
          <w:sz w:val="24"/>
          <w:szCs w:val="24"/>
          <w:lang w:val="en-US"/>
        </w:rPr>
        <w:t>Chaque</w:t>
      </w:r>
      <w:proofErr w:type="spellEnd"/>
      <w:r w:rsidRPr="00AF71CE">
        <w:rPr>
          <w:rFonts w:ascii="Aptos" w:eastAsia="Times New Roman" w:hAnsi="Aptos" w:cs="Times New Roman"/>
          <w:sz w:val="24"/>
          <w:szCs w:val="24"/>
          <w:lang w:val="en-US"/>
        </w:rPr>
        <w:t xml:space="preserve"> </w:t>
      </w:r>
      <w:proofErr w:type="spellStart"/>
      <w:r w:rsidRPr="00AF71CE">
        <w:rPr>
          <w:rFonts w:ascii="Aptos" w:eastAsia="Times New Roman" w:hAnsi="Aptos" w:cs="Times New Roman"/>
          <w:sz w:val="24"/>
          <w:szCs w:val="24"/>
          <w:lang w:val="en-US"/>
        </w:rPr>
        <w:t>appareil</w:t>
      </w:r>
      <w:proofErr w:type="spellEnd"/>
      <w:r w:rsidRPr="00AF71CE">
        <w:rPr>
          <w:rFonts w:ascii="Aptos" w:eastAsia="Times New Roman" w:hAnsi="Aptos" w:cs="Times New Roman"/>
          <w:sz w:val="24"/>
          <w:szCs w:val="24"/>
          <w:lang w:val="en-US"/>
        </w:rPr>
        <w:t xml:space="preserve"> est </w:t>
      </w:r>
      <w:proofErr w:type="spellStart"/>
      <w:r w:rsidRPr="00AF71CE">
        <w:rPr>
          <w:rFonts w:ascii="Aptos" w:eastAsia="Times New Roman" w:hAnsi="Aptos" w:cs="Times New Roman"/>
          <w:sz w:val="24"/>
          <w:szCs w:val="24"/>
          <w:lang w:val="en-US"/>
        </w:rPr>
        <w:t>livré</w:t>
      </w:r>
      <w:proofErr w:type="spellEnd"/>
      <w:r w:rsidRPr="00AF71CE">
        <w:rPr>
          <w:rFonts w:ascii="Aptos" w:eastAsia="Times New Roman" w:hAnsi="Aptos" w:cs="Times New Roman"/>
          <w:sz w:val="24"/>
          <w:szCs w:val="24"/>
          <w:lang w:val="en-US"/>
        </w:rPr>
        <w:t xml:space="preserve"> avec son propre chiffon </w:t>
      </w:r>
      <w:proofErr w:type="spellStart"/>
      <w:r w:rsidRPr="00AF71CE">
        <w:rPr>
          <w:rFonts w:ascii="Aptos" w:eastAsia="Times New Roman" w:hAnsi="Aptos" w:cs="Times New Roman"/>
          <w:sz w:val="24"/>
          <w:szCs w:val="24"/>
          <w:lang w:val="en-US"/>
        </w:rPr>
        <w:t>microfibre</w:t>
      </w:r>
      <w:proofErr w:type="spellEnd"/>
      <w:r w:rsidRPr="00AF71CE">
        <w:rPr>
          <w:rFonts w:ascii="Aptos" w:eastAsia="Times New Roman" w:hAnsi="Aptos" w:cs="Times New Roman"/>
          <w:sz w:val="24"/>
          <w:szCs w:val="24"/>
          <w:lang w:val="en-US"/>
        </w:rPr>
        <w:t>.</w:t>
      </w:r>
    </w:p>
    <w:p w14:paraId="2810BB20" w14:textId="77777777" w:rsidR="00AF71CE" w:rsidRPr="00AF71CE" w:rsidRDefault="00AF71CE" w:rsidP="00AF71CE">
      <w:pPr>
        <w:spacing w:after="0" w:line="240" w:lineRule="auto"/>
        <w:outlineLvl w:val="1"/>
        <w:rPr>
          <w:rFonts w:ascii="Aptos" w:eastAsia="Times New Roman" w:hAnsi="Aptos" w:cs="Times New Roman"/>
          <w:b/>
          <w:bCs/>
          <w:color w:val="2E74B5"/>
          <w:sz w:val="24"/>
          <w:szCs w:val="24"/>
          <w:lang w:val="fr-CA"/>
        </w:rPr>
      </w:pPr>
      <w:r w:rsidRPr="00AF71CE">
        <w:rPr>
          <w:rFonts w:ascii="Aptos" w:eastAsia="Times New Roman" w:hAnsi="Aptos" w:cs="Times New Roman"/>
          <w:b/>
          <w:bCs/>
          <w:color w:val="2E74B5"/>
          <w:sz w:val="24"/>
          <w:szCs w:val="24"/>
          <w:lang w:val="fr-CA"/>
        </w:rPr>
        <w:t>Écran et boîtier (tous les modèles)</w:t>
      </w:r>
    </w:p>
    <w:p w14:paraId="24E774FF"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Essuyez le boîtier, le panneau arrière et les bords à l’aide d’une lingette désinfectante ou d’un chiffon humecté d’eau et de savon doux.</w:t>
      </w:r>
    </w:p>
    <w:p w14:paraId="5E802138"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Nettoyez l’écran avec un chiffon microfibre doux et sec. Si une lingette est nécessaire, utilisez-en une indiquée comme sécuritaire pour les écrans électroniques et évitez toute accumulation de liquide le long des bords de l’écran ou de la bordure.</w:t>
      </w:r>
    </w:p>
    <w:p w14:paraId="74873F3A"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Ne vaporisez jamais de liquide directement sur l’écran ou le boîtier. Appliquez-le d’abord sur le chiffon ou la lingette, puis essuyez la surface.</w:t>
      </w:r>
    </w:p>
    <w:p w14:paraId="039184C4"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Évitez les nettoyants à vitres à base d’ammoniaque et les matériaux abrasifs, qui peuvent endommager le revêtement de l’écran.</w:t>
      </w:r>
    </w:p>
    <w:p w14:paraId="009F0DE0"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Gardez toute humidité loin du port de charge USB-C et du port de sortie vidéo.</w:t>
      </w:r>
    </w:p>
    <w:p w14:paraId="70E40677"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Laissez toutes les surfaces sécher complètement à l’air avant de rallumer l’appareil ou de le remettre au patient suivant.</w:t>
      </w:r>
    </w:p>
    <w:p w14:paraId="76D8F6FE" w14:textId="77777777" w:rsidR="00AF71CE" w:rsidRPr="00AF71CE" w:rsidRDefault="00AF71CE" w:rsidP="00AF71CE">
      <w:pPr>
        <w:spacing w:after="0" w:line="240" w:lineRule="auto"/>
        <w:outlineLvl w:val="1"/>
        <w:rPr>
          <w:rFonts w:ascii="Aptos" w:eastAsia="Times New Roman" w:hAnsi="Aptos" w:cs="Times New Roman"/>
          <w:b/>
          <w:bCs/>
          <w:color w:val="2E74B5"/>
          <w:sz w:val="24"/>
          <w:szCs w:val="24"/>
          <w:lang w:val="en-US"/>
        </w:rPr>
      </w:pPr>
      <w:r w:rsidRPr="00AF71CE">
        <w:rPr>
          <w:rFonts w:ascii="Aptos" w:eastAsia="Times New Roman" w:hAnsi="Aptos" w:cs="Times New Roman"/>
          <w:b/>
          <w:bCs/>
          <w:color w:val="2E74B5"/>
          <w:sz w:val="24"/>
          <w:szCs w:val="24"/>
          <w:lang w:val="en-US"/>
        </w:rPr>
        <w:t>Boutons et commandes tactiles</w:t>
      </w:r>
    </w:p>
    <w:p w14:paraId="7C886C13"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proofErr w:type="gramStart"/>
      <w:r w:rsidRPr="00AF71CE">
        <w:rPr>
          <w:rFonts w:ascii="Aptos" w:eastAsia="Times New Roman" w:hAnsi="Aptos" w:cs="Times New Roman"/>
          <w:sz w:val="24"/>
          <w:szCs w:val="24"/>
          <w:lang w:val="fr-CA"/>
        </w:rPr>
        <w:t>explorē</w:t>
      </w:r>
      <w:proofErr w:type="gramEnd"/>
      <w:r w:rsidRPr="00AF71CE">
        <w:rPr>
          <w:rFonts w:ascii="Aptos" w:eastAsia="Times New Roman" w:hAnsi="Aptos" w:cs="Times New Roman"/>
          <w:sz w:val="24"/>
          <w:szCs w:val="24"/>
          <w:lang w:val="fr-CA"/>
        </w:rPr>
        <w:t xml:space="preserve"> 5, 8 et 12 : Essuyez les grands boutons de commande avec une lingette désinfectante ou un chiffon humecté d’eau et de savon doux, en prenant soin d’éviter toute infiltration d’humidité autour des boutons.</w:t>
      </w:r>
    </w:p>
    <w:p w14:paraId="18A71435"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proofErr w:type="gramStart"/>
      <w:r w:rsidRPr="00AF71CE">
        <w:rPr>
          <w:rFonts w:ascii="Aptos" w:eastAsia="Times New Roman" w:hAnsi="Aptos" w:cs="Times New Roman"/>
          <w:sz w:val="24"/>
          <w:szCs w:val="24"/>
          <w:lang w:val="fr-CA"/>
        </w:rPr>
        <w:t>explorē</w:t>
      </w:r>
      <w:proofErr w:type="gramEnd"/>
      <w:r w:rsidRPr="00AF71CE">
        <w:rPr>
          <w:rFonts w:ascii="Aptos" w:eastAsia="Times New Roman" w:hAnsi="Aptos" w:cs="Times New Roman"/>
          <w:sz w:val="24"/>
          <w:szCs w:val="24"/>
          <w:lang w:val="fr-CA"/>
        </w:rPr>
        <w:t xml:space="preserve"> 8 et explorē 12 : L’écran tactile sert également de commande principale. Nettoyez-le selon les directives ci-dessus pour l’écran, en évitant d’appuyer assez fort pour égratigner la surface tactile.</w:t>
      </w:r>
    </w:p>
    <w:p w14:paraId="2B406001" w14:textId="77777777" w:rsidR="00AF71CE" w:rsidRDefault="00AF71CE">
      <w:pPr>
        <w:rPr>
          <w:rFonts w:ascii="Aptos" w:eastAsia="Times New Roman" w:hAnsi="Aptos" w:cs="Times New Roman"/>
          <w:color w:val="2E74B5"/>
          <w:sz w:val="24"/>
          <w:szCs w:val="24"/>
          <w:lang w:val="en-US"/>
        </w:rPr>
      </w:pPr>
      <w:r>
        <w:rPr>
          <w:rFonts w:ascii="Aptos" w:eastAsia="Times New Roman" w:hAnsi="Aptos" w:cs="Times New Roman"/>
          <w:color w:val="2E74B5"/>
          <w:sz w:val="24"/>
          <w:szCs w:val="24"/>
          <w:lang w:val="en-US"/>
        </w:rPr>
        <w:br w:type="page"/>
      </w:r>
    </w:p>
    <w:p w14:paraId="5CBF001B" w14:textId="1621D6F6" w:rsidR="00AF71CE" w:rsidRPr="00AF71CE" w:rsidRDefault="00AF71CE" w:rsidP="00AF71CE">
      <w:pPr>
        <w:spacing w:after="0" w:line="240" w:lineRule="auto"/>
        <w:outlineLvl w:val="1"/>
        <w:rPr>
          <w:rFonts w:ascii="Aptos" w:eastAsia="Times New Roman" w:hAnsi="Aptos" w:cs="Times New Roman"/>
          <w:b/>
          <w:bCs/>
          <w:color w:val="2E74B5"/>
          <w:sz w:val="24"/>
          <w:szCs w:val="24"/>
          <w:lang w:val="en-US"/>
        </w:rPr>
      </w:pPr>
      <w:proofErr w:type="spellStart"/>
      <w:r w:rsidRPr="00AF71CE">
        <w:rPr>
          <w:rFonts w:ascii="Aptos" w:eastAsia="Times New Roman" w:hAnsi="Aptos" w:cs="Times New Roman"/>
          <w:b/>
          <w:bCs/>
          <w:color w:val="2E74B5"/>
          <w:sz w:val="24"/>
          <w:szCs w:val="24"/>
          <w:lang w:val="en-US"/>
        </w:rPr>
        <w:lastRenderedPageBreak/>
        <w:t>Caméra</w:t>
      </w:r>
      <w:proofErr w:type="spellEnd"/>
      <w:r w:rsidRPr="00AF71CE">
        <w:rPr>
          <w:rFonts w:ascii="Aptos" w:eastAsia="Times New Roman" w:hAnsi="Aptos" w:cs="Times New Roman"/>
          <w:b/>
          <w:bCs/>
          <w:color w:val="2E74B5"/>
          <w:sz w:val="24"/>
          <w:szCs w:val="24"/>
          <w:lang w:val="en-US"/>
        </w:rPr>
        <w:t xml:space="preserve">(s) </w:t>
      </w:r>
      <w:proofErr w:type="spellStart"/>
      <w:r w:rsidRPr="00AF71CE">
        <w:rPr>
          <w:rFonts w:ascii="Aptos" w:eastAsia="Times New Roman" w:hAnsi="Aptos" w:cs="Times New Roman"/>
          <w:b/>
          <w:bCs/>
          <w:color w:val="2E74B5"/>
          <w:sz w:val="24"/>
          <w:szCs w:val="24"/>
          <w:lang w:val="en-US"/>
        </w:rPr>
        <w:t>intégrée</w:t>
      </w:r>
      <w:proofErr w:type="spellEnd"/>
      <w:r w:rsidRPr="00AF71CE">
        <w:rPr>
          <w:rFonts w:ascii="Aptos" w:eastAsia="Times New Roman" w:hAnsi="Aptos" w:cs="Times New Roman"/>
          <w:b/>
          <w:bCs/>
          <w:color w:val="2E74B5"/>
          <w:sz w:val="24"/>
          <w:szCs w:val="24"/>
          <w:lang w:val="en-US"/>
        </w:rPr>
        <w:t>(s)</w:t>
      </w:r>
    </w:p>
    <w:p w14:paraId="2673F742"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en-US"/>
        </w:rPr>
      </w:pPr>
      <w:r w:rsidRPr="00AF71CE">
        <w:rPr>
          <w:rFonts w:ascii="Aptos" w:eastAsia="Times New Roman" w:hAnsi="Aptos" w:cs="Times New Roman"/>
          <w:sz w:val="24"/>
          <w:szCs w:val="24"/>
          <w:lang w:val="fr-CA"/>
        </w:rPr>
        <w:t xml:space="preserve">Nettoyez la lentille de la caméra uniquement avec un chiffon microfibre doux et sec, en effectuant de légers mouvements circulaires du centre vers l’extérieur. </w:t>
      </w:r>
      <w:proofErr w:type="spellStart"/>
      <w:r w:rsidRPr="00AF71CE">
        <w:rPr>
          <w:rFonts w:ascii="Aptos" w:eastAsia="Times New Roman" w:hAnsi="Aptos" w:cs="Times New Roman"/>
          <w:sz w:val="24"/>
          <w:szCs w:val="24"/>
          <w:lang w:val="en-US"/>
        </w:rPr>
        <w:t>Gardez</w:t>
      </w:r>
      <w:proofErr w:type="spellEnd"/>
      <w:r w:rsidRPr="00AF71CE">
        <w:rPr>
          <w:rFonts w:ascii="Aptos" w:eastAsia="Times New Roman" w:hAnsi="Aptos" w:cs="Times New Roman"/>
          <w:sz w:val="24"/>
          <w:szCs w:val="24"/>
          <w:lang w:val="en-US"/>
        </w:rPr>
        <w:t xml:space="preserve"> tout </w:t>
      </w:r>
      <w:proofErr w:type="spellStart"/>
      <w:r w:rsidRPr="00AF71CE">
        <w:rPr>
          <w:rFonts w:ascii="Aptos" w:eastAsia="Times New Roman" w:hAnsi="Aptos" w:cs="Times New Roman"/>
          <w:sz w:val="24"/>
          <w:szCs w:val="24"/>
          <w:lang w:val="en-US"/>
        </w:rPr>
        <w:t>liquide</w:t>
      </w:r>
      <w:proofErr w:type="spellEnd"/>
      <w:r w:rsidRPr="00AF71CE">
        <w:rPr>
          <w:rFonts w:ascii="Aptos" w:eastAsia="Times New Roman" w:hAnsi="Aptos" w:cs="Times New Roman"/>
          <w:sz w:val="24"/>
          <w:szCs w:val="24"/>
          <w:lang w:val="en-US"/>
        </w:rPr>
        <w:t xml:space="preserve"> loin de la </w:t>
      </w:r>
      <w:proofErr w:type="spellStart"/>
      <w:r w:rsidRPr="00AF71CE">
        <w:rPr>
          <w:rFonts w:ascii="Aptos" w:eastAsia="Times New Roman" w:hAnsi="Aptos" w:cs="Times New Roman"/>
          <w:sz w:val="24"/>
          <w:szCs w:val="24"/>
          <w:lang w:val="en-US"/>
        </w:rPr>
        <w:t>lentille</w:t>
      </w:r>
      <w:proofErr w:type="spellEnd"/>
      <w:r w:rsidRPr="00AF71CE">
        <w:rPr>
          <w:rFonts w:ascii="Aptos" w:eastAsia="Times New Roman" w:hAnsi="Aptos" w:cs="Times New Roman"/>
          <w:sz w:val="24"/>
          <w:szCs w:val="24"/>
          <w:lang w:val="en-US"/>
        </w:rPr>
        <w:t>.</w:t>
      </w:r>
    </w:p>
    <w:p w14:paraId="49E16496"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Essuyez la zone entourant la lentille avec une lingette désinfectante ou un chiffon humecté d’eau et de savon doux, en gardant tout liquide loin de la lentille elle-même.</w:t>
      </w:r>
    </w:p>
    <w:p w14:paraId="66DC9E83"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Les explorē 8 et explorē 12 sont chacun munis de deux caméras intégrées; nettoyez les deux lentilles selon la même méthode.</w:t>
      </w:r>
    </w:p>
    <w:p w14:paraId="38BA077E"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Ne submergez jamais l’appareil, ne vaporisez jamais de nettoyant directement sur la caméra et n’utilisez jamais d’essuie-tout ou de matériaux abrasifs sur la lentille, car cela peut égratigner le revêtement de la lentille et nuire à la qualité de l’image.</w:t>
      </w:r>
    </w:p>
    <w:p w14:paraId="53BE48EF" w14:textId="77777777" w:rsidR="00AF71CE" w:rsidRPr="00AF71CE" w:rsidRDefault="00AF71CE" w:rsidP="00AF71CE">
      <w:pPr>
        <w:spacing w:after="0" w:line="240" w:lineRule="auto"/>
        <w:outlineLvl w:val="1"/>
        <w:rPr>
          <w:rFonts w:ascii="Aptos" w:eastAsia="Times New Roman" w:hAnsi="Aptos" w:cs="Times New Roman"/>
          <w:b/>
          <w:bCs/>
          <w:color w:val="2E74B5"/>
          <w:sz w:val="24"/>
          <w:szCs w:val="24"/>
          <w:lang w:val="fr-CA"/>
        </w:rPr>
      </w:pPr>
      <w:r w:rsidRPr="00AF71CE">
        <w:rPr>
          <w:rFonts w:ascii="Aptos" w:eastAsia="Times New Roman" w:hAnsi="Aptos" w:cs="Times New Roman"/>
          <w:b/>
          <w:bCs/>
          <w:color w:val="2E74B5"/>
          <w:sz w:val="24"/>
          <w:szCs w:val="24"/>
          <w:lang w:val="fr-CA"/>
        </w:rPr>
        <w:t>Appareils, supports de lecture et poignée</w:t>
      </w:r>
    </w:p>
    <w:p w14:paraId="4600E2B3"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Essuyez les surfaces intégrées (explorē 5, 8 et 12) et externes (explorē 8 et 12) du support, ainsi que les charnières pliantes, avec une lingette désinfectante ou un chiffon humecté d’eau et de savon doux.</w:t>
      </w:r>
    </w:p>
    <w:p w14:paraId="2B05B9C1"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proofErr w:type="gramStart"/>
      <w:r w:rsidRPr="00AF71CE">
        <w:rPr>
          <w:rFonts w:ascii="Aptos" w:eastAsia="Times New Roman" w:hAnsi="Aptos" w:cs="Times New Roman"/>
          <w:sz w:val="24"/>
          <w:szCs w:val="24"/>
          <w:lang w:val="fr-CA"/>
        </w:rPr>
        <w:t>explorē</w:t>
      </w:r>
      <w:proofErr w:type="gramEnd"/>
      <w:r w:rsidRPr="00AF71CE">
        <w:rPr>
          <w:rFonts w:ascii="Aptos" w:eastAsia="Times New Roman" w:hAnsi="Aptos" w:cs="Times New Roman"/>
          <w:sz w:val="24"/>
          <w:szCs w:val="24"/>
          <w:lang w:val="fr-CA"/>
        </w:rPr>
        <w:t xml:space="preserve"> 5, 8 et 12 : Gardez toute humidité loin des éléments d’éclairage à DEL intégrés au support.</w:t>
      </w:r>
    </w:p>
    <w:p w14:paraId="15B3FAF5"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Laissez le support sécher complètement avant de le replier ou de le ranger dans l’étui de transport.</w:t>
      </w:r>
    </w:p>
    <w:p w14:paraId="34AF3450" w14:textId="77777777" w:rsidR="00AF71CE" w:rsidRPr="00AF71CE" w:rsidRDefault="00AF71CE" w:rsidP="00AF71CE">
      <w:pPr>
        <w:spacing w:after="0" w:line="240" w:lineRule="auto"/>
        <w:outlineLvl w:val="1"/>
        <w:rPr>
          <w:rFonts w:ascii="Aptos" w:eastAsia="Times New Roman" w:hAnsi="Aptos" w:cs="Times New Roman"/>
          <w:b/>
          <w:bCs/>
          <w:color w:val="2E74B5"/>
          <w:sz w:val="24"/>
          <w:szCs w:val="24"/>
          <w:lang w:val="en-US"/>
        </w:rPr>
      </w:pPr>
      <w:r w:rsidRPr="00AF71CE">
        <w:rPr>
          <w:rFonts w:ascii="Aptos" w:eastAsia="Times New Roman" w:hAnsi="Aptos" w:cs="Times New Roman"/>
          <w:b/>
          <w:bCs/>
          <w:color w:val="2E74B5"/>
          <w:sz w:val="24"/>
          <w:szCs w:val="24"/>
          <w:lang w:val="en-US"/>
        </w:rPr>
        <w:t xml:space="preserve">Étui de transport et </w:t>
      </w:r>
      <w:proofErr w:type="spellStart"/>
      <w:r w:rsidRPr="00AF71CE">
        <w:rPr>
          <w:rFonts w:ascii="Aptos" w:eastAsia="Times New Roman" w:hAnsi="Aptos" w:cs="Times New Roman"/>
          <w:b/>
          <w:bCs/>
          <w:color w:val="2E74B5"/>
          <w:sz w:val="24"/>
          <w:szCs w:val="24"/>
          <w:lang w:val="en-US"/>
        </w:rPr>
        <w:t>accessoires</w:t>
      </w:r>
      <w:proofErr w:type="spellEnd"/>
    </w:p>
    <w:p w14:paraId="4076BA74"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Essuyez les surfaces extérieures des étuis de transport avec une lingette désinfectante au besoin et laissez sécher avant d’y ranger l’équipement.</w:t>
      </w:r>
    </w:p>
    <w:p w14:paraId="25DBC25E"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Lavez ou remplacez le chiffon de nettoyage microfibre et le protecteur d’écran fournis, selon le protocole de votre établissement, s’ils sont visiblement souillés.</w:t>
      </w:r>
    </w:p>
    <w:p w14:paraId="7ABC5BE6" w14:textId="77777777" w:rsidR="00AF71CE" w:rsidRPr="00AF71CE" w:rsidRDefault="00AF71CE" w:rsidP="00AF71CE">
      <w:pPr>
        <w:spacing w:after="0" w:line="240" w:lineRule="auto"/>
        <w:outlineLvl w:val="1"/>
        <w:rPr>
          <w:rFonts w:ascii="Aptos" w:eastAsia="Times New Roman" w:hAnsi="Aptos" w:cs="Times New Roman"/>
          <w:b/>
          <w:bCs/>
          <w:color w:val="2E74B5"/>
          <w:sz w:val="24"/>
          <w:szCs w:val="24"/>
          <w:lang w:val="fr-CA"/>
        </w:rPr>
      </w:pPr>
      <w:r w:rsidRPr="00AF71CE">
        <w:rPr>
          <w:rFonts w:ascii="Aptos" w:eastAsia="Times New Roman" w:hAnsi="Aptos" w:cs="Times New Roman"/>
          <w:b/>
          <w:bCs/>
          <w:color w:val="2E74B5"/>
          <w:sz w:val="24"/>
          <w:szCs w:val="24"/>
          <w:lang w:val="fr-CA"/>
        </w:rPr>
        <w:t>Entre les patients : points fréquemment touchés</w:t>
      </w:r>
    </w:p>
    <w:p w14:paraId="271E78E6"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Accordez la priorité à l’écran, aux boutons ou à la surface tactile, aux bords du boîtier et à la zone de la lentille de la caméra, puisque ce sont les surfaces les plus souvent touchées ou observées.</w:t>
      </w:r>
    </w:p>
    <w:p w14:paraId="5710CA39"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Respectez le temps de contact recommandé sur l’étiquette du désinfectant avant d’essuyer la surface pour l’assécher, si le produit en exige un.</w:t>
      </w:r>
    </w:p>
    <w:p w14:paraId="3A2ACF2A"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Laissez toutes les surfaces sécher complètement avant que le patient suivant utilise l’appareil.</w:t>
      </w:r>
    </w:p>
    <w:p w14:paraId="175A4BA9" w14:textId="77777777" w:rsidR="00AF71CE" w:rsidRPr="00AF71CE" w:rsidRDefault="00AF71CE" w:rsidP="00AF71CE">
      <w:pPr>
        <w:spacing w:after="0" w:line="240" w:lineRule="auto"/>
        <w:outlineLvl w:val="1"/>
        <w:rPr>
          <w:rFonts w:ascii="Aptos" w:eastAsia="Times New Roman" w:hAnsi="Aptos" w:cs="Times New Roman"/>
          <w:b/>
          <w:bCs/>
          <w:color w:val="2E74B5"/>
          <w:sz w:val="24"/>
          <w:szCs w:val="24"/>
          <w:lang w:val="en-US"/>
        </w:rPr>
      </w:pPr>
      <w:r w:rsidRPr="00AF71CE">
        <w:rPr>
          <w:rFonts w:ascii="Aptos" w:eastAsia="Times New Roman" w:hAnsi="Aptos" w:cs="Times New Roman"/>
          <w:b/>
          <w:bCs/>
          <w:color w:val="2E74B5"/>
          <w:sz w:val="24"/>
          <w:szCs w:val="24"/>
          <w:lang w:val="en-US"/>
        </w:rPr>
        <w:t xml:space="preserve">À </w:t>
      </w:r>
      <w:proofErr w:type="spellStart"/>
      <w:r w:rsidRPr="00AF71CE">
        <w:rPr>
          <w:rFonts w:ascii="Aptos" w:eastAsia="Times New Roman" w:hAnsi="Aptos" w:cs="Times New Roman"/>
          <w:b/>
          <w:bCs/>
          <w:color w:val="2E74B5"/>
          <w:sz w:val="24"/>
          <w:szCs w:val="24"/>
          <w:lang w:val="en-US"/>
        </w:rPr>
        <w:t>éviter</w:t>
      </w:r>
      <w:proofErr w:type="spellEnd"/>
    </w:p>
    <w:p w14:paraId="7E155E38"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L’ammoniaque, l’eau de Javel ou les nettoyants à vitres sur l’écran ou la lentille de la caméra.</w:t>
      </w:r>
    </w:p>
    <w:p w14:paraId="14CC83A8"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Vaporiser un nettoyant directement sur un composant. Appliquez-le d’abord sur un chiffon ou une lingette.</w:t>
      </w:r>
    </w:p>
    <w:p w14:paraId="04E37A82"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Submerger un composant dans un liquide ou utiliser des nettoyeurs à ultrasons.</w:t>
      </w:r>
    </w:p>
    <w:p w14:paraId="25DF82BA" w14:textId="7B534440" w:rsid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L’essuie-tout, les mouchoirs de papier ou les chiffons abrasifs sur l’écran ou la lentille de la caméra.</w:t>
      </w:r>
    </w:p>
    <w:p w14:paraId="446E3C9E" w14:textId="77777777" w:rsidR="00AF71CE" w:rsidRDefault="00AF71CE">
      <w:pPr>
        <w:rPr>
          <w:rFonts w:ascii="Aptos" w:eastAsia="Times New Roman" w:hAnsi="Aptos" w:cs="Times New Roman"/>
          <w:sz w:val="24"/>
          <w:szCs w:val="24"/>
          <w:lang w:val="fr-CA"/>
        </w:rPr>
      </w:pPr>
      <w:r>
        <w:rPr>
          <w:rFonts w:ascii="Aptos" w:eastAsia="Times New Roman" w:hAnsi="Aptos" w:cs="Times New Roman"/>
          <w:sz w:val="24"/>
          <w:szCs w:val="24"/>
          <w:lang w:val="fr-CA"/>
        </w:rPr>
        <w:br w:type="page"/>
      </w:r>
    </w:p>
    <w:p w14:paraId="75ACA56D" w14:textId="77777777" w:rsidR="00AF71CE" w:rsidRPr="00AF71CE" w:rsidRDefault="00AF71CE" w:rsidP="00AF71CE">
      <w:pPr>
        <w:spacing w:after="120" w:line="240" w:lineRule="auto"/>
        <w:rPr>
          <w:rFonts w:ascii="Aptos" w:eastAsia="Times New Roman" w:hAnsi="Aptos" w:cs="Times New Roman"/>
          <w:sz w:val="24"/>
          <w:szCs w:val="24"/>
          <w:lang w:val="fr-CA"/>
        </w:rPr>
      </w:pPr>
    </w:p>
    <w:p w14:paraId="0AA6E793" w14:textId="77777777" w:rsidR="00AF71CE" w:rsidRPr="00AF71CE" w:rsidRDefault="00AF71CE" w:rsidP="00AF71CE">
      <w:pPr>
        <w:numPr>
          <w:ilvl w:val="0"/>
          <w:numId w:val="9"/>
        </w:numPr>
        <w:spacing w:after="120" w:line="240" w:lineRule="auto"/>
        <w:rPr>
          <w:rFonts w:ascii="Aptos" w:eastAsia="Times New Roman" w:hAnsi="Aptos" w:cs="Times New Roman"/>
          <w:sz w:val="24"/>
          <w:szCs w:val="24"/>
          <w:lang w:val="fr-CA"/>
        </w:rPr>
      </w:pPr>
      <w:r w:rsidRPr="00AF71CE">
        <w:rPr>
          <w:rFonts w:ascii="Aptos" w:eastAsia="Times New Roman" w:hAnsi="Aptos" w:cs="Times New Roman"/>
          <w:sz w:val="24"/>
          <w:szCs w:val="24"/>
          <w:lang w:val="fr-CA"/>
        </w:rPr>
        <w:t>Nettoyer l’appareil pendant qu’il est allumé et en cours d’utilisation, ou pendant qu’il est branché à un chargeur.</w:t>
      </w:r>
    </w:p>
    <w:p w14:paraId="433B6879" w14:textId="77777777" w:rsidR="00AF71CE" w:rsidRDefault="00AF71CE" w:rsidP="00AF71CE">
      <w:pPr>
        <w:spacing w:line="240" w:lineRule="auto"/>
        <w:rPr>
          <w:rFonts w:ascii="Aptos" w:eastAsia="Times New Roman" w:hAnsi="Aptos" w:cs="Times New Roman"/>
          <w:b/>
          <w:bCs/>
          <w:sz w:val="20"/>
          <w:szCs w:val="20"/>
          <w:lang w:val="fr-CA"/>
        </w:rPr>
      </w:pPr>
    </w:p>
    <w:p w14:paraId="400EA940" w14:textId="54184C7E" w:rsidR="00AF71CE" w:rsidRPr="00AF71CE" w:rsidRDefault="00AF71CE" w:rsidP="00AF71CE">
      <w:pPr>
        <w:spacing w:line="240" w:lineRule="auto"/>
        <w:rPr>
          <w:rFonts w:ascii="Aptos" w:eastAsia="Times New Roman" w:hAnsi="Aptos" w:cs="Times New Roman"/>
          <w:sz w:val="20"/>
          <w:szCs w:val="20"/>
          <w:lang w:val="fr-CA"/>
        </w:rPr>
      </w:pPr>
      <w:r w:rsidRPr="00AF71CE">
        <w:rPr>
          <w:rFonts w:ascii="Aptos" w:eastAsia="Times New Roman" w:hAnsi="Aptos" w:cs="Times New Roman"/>
          <w:b/>
          <w:bCs/>
          <w:sz w:val="20"/>
          <w:szCs w:val="20"/>
          <w:lang w:val="fr-CA"/>
        </w:rPr>
        <w:t>Remarque :</w:t>
      </w:r>
      <w:r w:rsidRPr="00AF71CE">
        <w:rPr>
          <w:rFonts w:ascii="Aptos" w:eastAsia="Times New Roman" w:hAnsi="Aptos" w:cs="Times New Roman"/>
          <w:sz w:val="20"/>
          <w:szCs w:val="20"/>
          <w:lang w:val="fr-CA"/>
        </w:rPr>
        <w:t xml:space="preserve"> Les explorē 5, explorē 8 et explorē 12 sont des produits HumanWare. Les étapes ci-dessus reflètent des pratiques générales couramment utilisées pour le nettoyage d’appareils électroniques portatifs partagés dans un contexte clinique. Elles ne remplacent pas les instructions, les conditions de garantie ni les consignes de sécurité publiées par HumanWare, et elles ne remplacent pas non plus les protocoles de prévention des infections de votre établissement. Lorsque les directives du fabricant et le protocole de l’établissement sont disponibles, suivez-les en priorité.</w:t>
      </w:r>
    </w:p>
    <w:p w14:paraId="16682D15" w14:textId="77777777" w:rsidR="0097618B" w:rsidRPr="00AF71CE" w:rsidRDefault="0097618B" w:rsidP="0097618B">
      <w:pPr>
        <w:rPr>
          <w:rFonts w:ascii="Aptos" w:hAnsi="Aptos"/>
          <w:sz w:val="20"/>
          <w:szCs w:val="20"/>
          <w:lang w:val="fr-CA"/>
        </w:rPr>
      </w:pPr>
    </w:p>
    <w:p w14:paraId="160B3346" w14:textId="25AF3E0E" w:rsidR="00786B49" w:rsidRPr="00AF71CE" w:rsidRDefault="00786B49" w:rsidP="001F7A1E">
      <w:pPr>
        <w:spacing w:after="0" w:line="240" w:lineRule="auto"/>
        <w:rPr>
          <w:rFonts w:ascii="Aptos" w:hAnsi="Aptos"/>
          <w:b/>
          <w:bCs/>
          <w:sz w:val="24"/>
          <w:szCs w:val="24"/>
          <w:lang w:val="fr-CA"/>
        </w:rPr>
      </w:pPr>
    </w:p>
    <w:sectPr w:rsidR="00786B49" w:rsidRPr="00AF71CE" w:rsidSect="002F17CD">
      <w:headerReference w:type="default" r:id="rId10"/>
      <w:footerReference w:type="default" r:id="rId11"/>
      <w:pgSz w:w="11906" w:h="16838"/>
      <w:pgMar w:top="1080" w:right="1080" w:bottom="108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BF559" w14:textId="77777777" w:rsidR="00F55E66" w:rsidRDefault="00F55E66" w:rsidP="006E71EC">
      <w:pPr>
        <w:spacing w:after="0" w:line="240" w:lineRule="auto"/>
      </w:pPr>
      <w:r>
        <w:separator/>
      </w:r>
    </w:p>
  </w:endnote>
  <w:endnote w:type="continuationSeparator" w:id="0">
    <w:p w14:paraId="566F8769" w14:textId="77777777" w:rsidR="00F55E66" w:rsidRDefault="00F55E66" w:rsidP="006E71EC">
      <w:pPr>
        <w:spacing w:after="0" w:line="240" w:lineRule="auto"/>
      </w:pPr>
      <w:r>
        <w:continuationSeparator/>
      </w:r>
    </w:p>
  </w:endnote>
  <w:endnote w:type="continuationNotice" w:id="1">
    <w:p w14:paraId="22BA7505" w14:textId="77777777" w:rsidR="00F55E66" w:rsidRDefault="00F55E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3BEE" w14:textId="78E5CFCC" w:rsidR="00650ACD" w:rsidRPr="00650ACD" w:rsidRDefault="0097618B" w:rsidP="00650ACD">
    <w:pPr>
      <w:pStyle w:val="Footer"/>
      <w:jc w:val="right"/>
      <w:rPr>
        <w:lang w:val="en-US"/>
      </w:rPr>
    </w:pPr>
    <w:r>
      <w:rPr>
        <w:lang w:val="en-US"/>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B6B0D" w14:textId="77777777" w:rsidR="00F55E66" w:rsidRDefault="00F55E66" w:rsidP="006E71EC">
      <w:pPr>
        <w:spacing w:after="0" w:line="240" w:lineRule="auto"/>
      </w:pPr>
      <w:r>
        <w:separator/>
      </w:r>
    </w:p>
  </w:footnote>
  <w:footnote w:type="continuationSeparator" w:id="0">
    <w:p w14:paraId="73783C64" w14:textId="77777777" w:rsidR="00F55E66" w:rsidRDefault="00F55E66" w:rsidP="006E71EC">
      <w:pPr>
        <w:spacing w:after="0" w:line="240" w:lineRule="auto"/>
      </w:pPr>
      <w:r>
        <w:continuationSeparator/>
      </w:r>
    </w:p>
  </w:footnote>
  <w:footnote w:type="continuationNotice" w:id="1">
    <w:p w14:paraId="4A2540A8" w14:textId="77777777" w:rsidR="00F55E66" w:rsidRDefault="00F55E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2DCD" w14:textId="495128B1" w:rsidR="006E71EC" w:rsidRDefault="006E71EC">
    <w:pPr>
      <w:pStyle w:val="Header"/>
    </w:pPr>
    <w:r>
      <w:rPr>
        <w:noProof/>
      </w:rPr>
      <w:drawing>
        <wp:inline distT="0" distB="0" distL="0" distR="0" wp14:anchorId="4992DC27" wp14:editId="555B8E1F">
          <wp:extent cx="2438400" cy="609600"/>
          <wp:effectExtent l="0" t="0" r="0" b="0"/>
          <wp:docPr id="1702565080" name="Picture 1" descr="A logo with orange and grey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65080" name="Picture 1" descr="A logo with orange and grey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445836" cy="6114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1E38"/>
    <w:multiLevelType w:val="hybridMultilevel"/>
    <w:tmpl w:val="4ECA0320"/>
    <w:lvl w:ilvl="0" w:tplc="3CB20878">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87071"/>
    <w:multiLevelType w:val="hybridMultilevel"/>
    <w:tmpl w:val="BDB8D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21399A"/>
    <w:multiLevelType w:val="hybridMultilevel"/>
    <w:tmpl w:val="042C4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45A91"/>
    <w:multiLevelType w:val="hybridMultilevel"/>
    <w:tmpl w:val="6B344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7A5982"/>
    <w:multiLevelType w:val="hybridMultilevel"/>
    <w:tmpl w:val="1BDAE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E702A1"/>
    <w:multiLevelType w:val="hybridMultilevel"/>
    <w:tmpl w:val="0E10C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B507E1"/>
    <w:multiLevelType w:val="hybridMultilevel"/>
    <w:tmpl w:val="023AC846"/>
    <w:lvl w:ilvl="0" w:tplc="D304BEEC">
      <w:start w:val="1"/>
      <w:numFmt w:val="bullet"/>
      <w:lvlText w:val="•"/>
      <w:lvlJc w:val="left"/>
      <w:pPr>
        <w:ind w:left="720" w:hanging="360"/>
      </w:pPr>
    </w:lvl>
    <w:lvl w:ilvl="1" w:tplc="05CCC29A">
      <w:numFmt w:val="decimal"/>
      <w:lvlText w:val=""/>
      <w:lvlJc w:val="left"/>
    </w:lvl>
    <w:lvl w:ilvl="2" w:tplc="12DE2C60">
      <w:numFmt w:val="decimal"/>
      <w:lvlText w:val=""/>
      <w:lvlJc w:val="left"/>
    </w:lvl>
    <w:lvl w:ilvl="3" w:tplc="D7AEC35C">
      <w:numFmt w:val="decimal"/>
      <w:lvlText w:val=""/>
      <w:lvlJc w:val="left"/>
    </w:lvl>
    <w:lvl w:ilvl="4" w:tplc="43F8F5E4">
      <w:numFmt w:val="decimal"/>
      <w:lvlText w:val=""/>
      <w:lvlJc w:val="left"/>
    </w:lvl>
    <w:lvl w:ilvl="5" w:tplc="E6F4ABA8">
      <w:numFmt w:val="decimal"/>
      <w:lvlText w:val=""/>
      <w:lvlJc w:val="left"/>
    </w:lvl>
    <w:lvl w:ilvl="6" w:tplc="C6125436">
      <w:numFmt w:val="decimal"/>
      <w:lvlText w:val=""/>
      <w:lvlJc w:val="left"/>
    </w:lvl>
    <w:lvl w:ilvl="7" w:tplc="3420270A">
      <w:numFmt w:val="decimal"/>
      <w:lvlText w:val=""/>
      <w:lvlJc w:val="left"/>
    </w:lvl>
    <w:lvl w:ilvl="8" w:tplc="2DF453E6">
      <w:numFmt w:val="decimal"/>
      <w:lvlText w:val=""/>
      <w:lvlJc w:val="left"/>
    </w:lvl>
  </w:abstractNum>
  <w:abstractNum w:abstractNumId="7" w15:restartNumberingAfterBreak="0">
    <w:nsid w:val="72AB6876"/>
    <w:multiLevelType w:val="hybridMultilevel"/>
    <w:tmpl w:val="9370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152381"/>
    <w:multiLevelType w:val="hybridMultilevel"/>
    <w:tmpl w:val="6994E632"/>
    <w:lvl w:ilvl="0" w:tplc="9120F96C">
      <w:start w:val="1"/>
      <w:numFmt w:val="bullet"/>
      <w:lvlText w:val="•"/>
      <w:lvlJc w:val="left"/>
      <w:pPr>
        <w:ind w:left="720" w:hanging="360"/>
      </w:pPr>
    </w:lvl>
    <w:lvl w:ilvl="1" w:tplc="5F84C43A">
      <w:numFmt w:val="decimal"/>
      <w:lvlText w:val=""/>
      <w:lvlJc w:val="left"/>
    </w:lvl>
    <w:lvl w:ilvl="2" w:tplc="7616D016">
      <w:numFmt w:val="decimal"/>
      <w:lvlText w:val=""/>
      <w:lvlJc w:val="left"/>
    </w:lvl>
    <w:lvl w:ilvl="3" w:tplc="76AAD750">
      <w:numFmt w:val="decimal"/>
      <w:lvlText w:val=""/>
      <w:lvlJc w:val="left"/>
    </w:lvl>
    <w:lvl w:ilvl="4" w:tplc="C8BA3468">
      <w:numFmt w:val="decimal"/>
      <w:lvlText w:val=""/>
      <w:lvlJc w:val="left"/>
    </w:lvl>
    <w:lvl w:ilvl="5" w:tplc="E1F65B48">
      <w:numFmt w:val="decimal"/>
      <w:lvlText w:val=""/>
      <w:lvlJc w:val="left"/>
    </w:lvl>
    <w:lvl w:ilvl="6" w:tplc="347AB248">
      <w:numFmt w:val="decimal"/>
      <w:lvlText w:val=""/>
      <w:lvlJc w:val="left"/>
    </w:lvl>
    <w:lvl w:ilvl="7" w:tplc="178CD166">
      <w:numFmt w:val="decimal"/>
      <w:lvlText w:val=""/>
      <w:lvlJc w:val="left"/>
    </w:lvl>
    <w:lvl w:ilvl="8" w:tplc="C0B6BDD0">
      <w:numFmt w:val="decimal"/>
      <w:lvlText w:val=""/>
      <w:lvlJc w:val="left"/>
    </w:lvl>
  </w:abstractNum>
  <w:num w:numId="1" w16cid:durableId="1145196507">
    <w:abstractNumId w:val="4"/>
  </w:num>
  <w:num w:numId="2" w16cid:durableId="1576546334">
    <w:abstractNumId w:val="7"/>
  </w:num>
  <w:num w:numId="3" w16cid:durableId="413553604">
    <w:abstractNumId w:val="1"/>
  </w:num>
  <w:num w:numId="4" w16cid:durableId="342753613">
    <w:abstractNumId w:val="3"/>
  </w:num>
  <w:num w:numId="5" w16cid:durableId="1654135313">
    <w:abstractNumId w:val="2"/>
  </w:num>
  <w:num w:numId="6" w16cid:durableId="605817433">
    <w:abstractNumId w:val="5"/>
  </w:num>
  <w:num w:numId="7" w16cid:durableId="201091482">
    <w:abstractNumId w:val="0"/>
  </w:num>
  <w:num w:numId="8" w16cid:durableId="1629122321">
    <w:abstractNumId w:val="8"/>
    <w:lvlOverride w:ilvl="0">
      <w:startOverride w:val="1"/>
    </w:lvlOverride>
  </w:num>
  <w:num w:numId="9" w16cid:durableId="43379068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2NDE0NjA3NzU2NzFW0lEKTi0uzszPAykwrAUA/rPUASwAAAA="/>
  </w:docVars>
  <w:rsids>
    <w:rsidRoot w:val="00852B91"/>
    <w:rsid w:val="000077E1"/>
    <w:rsid w:val="000217F9"/>
    <w:rsid w:val="00022CF3"/>
    <w:rsid w:val="000541D5"/>
    <w:rsid w:val="000914C8"/>
    <w:rsid w:val="000D741D"/>
    <w:rsid w:val="000F3C63"/>
    <w:rsid w:val="00132A56"/>
    <w:rsid w:val="00147441"/>
    <w:rsid w:val="00180638"/>
    <w:rsid w:val="00182481"/>
    <w:rsid w:val="001F7A1E"/>
    <w:rsid w:val="00214FCD"/>
    <w:rsid w:val="00243CBE"/>
    <w:rsid w:val="00244AF5"/>
    <w:rsid w:val="0024799F"/>
    <w:rsid w:val="0027203B"/>
    <w:rsid w:val="002856D7"/>
    <w:rsid w:val="002B0430"/>
    <w:rsid w:val="002B1D45"/>
    <w:rsid w:val="002D4C30"/>
    <w:rsid w:val="002F17CD"/>
    <w:rsid w:val="00306444"/>
    <w:rsid w:val="00307E90"/>
    <w:rsid w:val="00353ED5"/>
    <w:rsid w:val="003D6F1B"/>
    <w:rsid w:val="003E1E9C"/>
    <w:rsid w:val="003F2309"/>
    <w:rsid w:val="003F4B47"/>
    <w:rsid w:val="00414F7C"/>
    <w:rsid w:val="00434F5F"/>
    <w:rsid w:val="00491D67"/>
    <w:rsid w:val="004A59EA"/>
    <w:rsid w:val="004C3AFB"/>
    <w:rsid w:val="004D44B6"/>
    <w:rsid w:val="004F4F8C"/>
    <w:rsid w:val="00504536"/>
    <w:rsid w:val="00523212"/>
    <w:rsid w:val="00537851"/>
    <w:rsid w:val="00586856"/>
    <w:rsid w:val="00597171"/>
    <w:rsid w:val="005A5D75"/>
    <w:rsid w:val="006053FF"/>
    <w:rsid w:val="006347E0"/>
    <w:rsid w:val="006417A6"/>
    <w:rsid w:val="00643819"/>
    <w:rsid w:val="00646972"/>
    <w:rsid w:val="00650ACD"/>
    <w:rsid w:val="00650BAD"/>
    <w:rsid w:val="0065201F"/>
    <w:rsid w:val="00666047"/>
    <w:rsid w:val="00666455"/>
    <w:rsid w:val="00675588"/>
    <w:rsid w:val="006938D5"/>
    <w:rsid w:val="006D4004"/>
    <w:rsid w:val="006E71EC"/>
    <w:rsid w:val="00775273"/>
    <w:rsid w:val="007843D7"/>
    <w:rsid w:val="00786B49"/>
    <w:rsid w:val="007B061A"/>
    <w:rsid w:val="008168CD"/>
    <w:rsid w:val="00825953"/>
    <w:rsid w:val="00852B91"/>
    <w:rsid w:val="00885CEF"/>
    <w:rsid w:val="00885EC2"/>
    <w:rsid w:val="0088631C"/>
    <w:rsid w:val="008A234E"/>
    <w:rsid w:val="008A36E6"/>
    <w:rsid w:val="008B329A"/>
    <w:rsid w:val="008F164D"/>
    <w:rsid w:val="00931E1C"/>
    <w:rsid w:val="009376D3"/>
    <w:rsid w:val="0097618B"/>
    <w:rsid w:val="009A0C97"/>
    <w:rsid w:val="009B785B"/>
    <w:rsid w:val="009F7698"/>
    <w:rsid w:val="00A04EF0"/>
    <w:rsid w:val="00A41B64"/>
    <w:rsid w:val="00A5282B"/>
    <w:rsid w:val="00A93584"/>
    <w:rsid w:val="00AA3E40"/>
    <w:rsid w:val="00AF71CE"/>
    <w:rsid w:val="00B3360F"/>
    <w:rsid w:val="00B43E2A"/>
    <w:rsid w:val="00B54F43"/>
    <w:rsid w:val="00B64DD4"/>
    <w:rsid w:val="00B757BF"/>
    <w:rsid w:val="00B76983"/>
    <w:rsid w:val="00B77E0B"/>
    <w:rsid w:val="00BC02D3"/>
    <w:rsid w:val="00BC4537"/>
    <w:rsid w:val="00BD510D"/>
    <w:rsid w:val="00BD7DCF"/>
    <w:rsid w:val="00C122FA"/>
    <w:rsid w:val="00C240FD"/>
    <w:rsid w:val="00C63F9B"/>
    <w:rsid w:val="00C75D73"/>
    <w:rsid w:val="00C865B3"/>
    <w:rsid w:val="00C96071"/>
    <w:rsid w:val="00CB7546"/>
    <w:rsid w:val="00CC2A1E"/>
    <w:rsid w:val="00CC31B0"/>
    <w:rsid w:val="00CF07C6"/>
    <w:rsid w:val="00D020A4"/>
    <w:rsid w:val="00D17A60"/>
    <w:rsid w:val="00D17C00"/>
    <w:rsid w:val="00D21BDF"/>
    <w:rsid w:val="00D44AAD"/>
    <w:rsid w:val="00D5019F"/>
    <w:rsid w:val="00D86E19"/>
    <w:rsid w:val="00D92079"/>
    <w:rsid w:val="00DA3E7F"/>
    <w:rsid w:val="00DC3A4C"/>
    <w:rsid w:val="00DC46AC"/>
    <w:rsid w:val="00DD3057"/>
    <w:rsid w:val="00DE2C82"/>
    <w:rsid w:val="00DE5ADD"/>
    <w:rsid w:val="00DF2DA8"/>
    <w:rsid w:val="00E0202A"/>
    <w:rsid w:val="00E15C6C"/>
    <w:rsid w:val="00E53D4C"/>
    <w:rsid w:val="00E6530B"/>
    <w:rsid w:val="00E91C6C"/>
    <w:rsid w:val="00EA6638"/>
    <w:rsid w:val="00ED1A55"/>
    <w:rsid w:val="00EE78BF"/>
    <w:rsid w:val="00F068FB"/>
    <w:rsid w:val="00F16C47"/>
    <w:rsid w:val="00F26F86"/>
    <w:rsid w:val="00F43B88"/>
    <w:rsid w:val="00F55E66"/>
    <w:rsid w:val="00F770C2"/>
    <w:rsid w:val="00F81CCD"/>
    <w:rsid w:val="00F81EB3"/>
    <w:rsid w:val="00F86E7F"/>
    <w:rsid w:val="02C5DBB4"/>
    <w:rsid w:val="04169CE3"/>
    <w:rsid w:val="05BB10FC"/>
    <w:rsid w:val="05F1D9A3"/>
    <w:rsid w:val="087A7984"/>
    <w:rsid w:val="1211082E"/>
    <w:rsid w:val="19F41816"/>
    <w:rsid w:val="214C44D6"/>
    <w:rsid w:val="21E5F93E"/>
    <w:rsid w:val="2222DD95"/>
    <w:rsid w:val="233D25F6"/>
    <w:rsid w:val="248D62D7"/>
    <w:rsid w:val="2A94C5C2"/>
    <w:rsid w:val="35E2588B"/>
    <w:rsid w:val="4300DA8C"/>
    <w:rsid w:val="433B78CF"/>
    <w:rsid w:val="44FA873F"/>
    <w:rsid w:val="45FB544E"/>
    <w:rsid w:val="47C76358"/>
    <w:rsid w:val="4810DDE0"/>
    <w:rsid w:val="4940993E"/>
    <w:rsid w:val="4C54D602"/>
    <w:rsid w:val="5246A3E2"/>
    <w:rsid w:val="545F2C38"/>
    <w:rsid w:val="57755B8C"/>
    <w:rsid w:val="5A5EF88D"/>
    <w:rsid w:val="5D6B8AB3"/>
    <w:rsid w:val="6121689C"/>
    <w:rsid w:val="6CC279EE"/>
    <w:rsid w:val="6E96270D"/>
    <w:rsid w:val="6F07033A"/>
    <w:rsid w:val="758FBDDF"/>
    <w:rsid w:val="76CB0104"/>
    <w:rsid w:val="7B5725D0"/>
    <w:rsid w:val="7BB24BDE"/>
    <w:rsid w:val="7D0D0A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8BDBB9"/>
  <w15:chartTrackingRefBased/>
  <w15:docId w15:val="{E3BD6797-F492-4AA6-9476-AE18A012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97618B"/>
    <w:pPr>
      <w:spacing w:after="0" w:line="240" w:lineRule="auto"/>
      <w:outlineLvl w:val="0"/>
    </w:pPr>
    <w:rPr>
      <w:rFonts w:ascii="Times New Roman" w:eastAsia="Times New Roman" w:hAnsi="Times New Roman" w:cs="Times New Roman"/>
      <w:color w:val="2E74B5"/>
      <w:sz w:val="32"/>
      <w:szCs w:val="32"/>
      <w:lang w:val="en-US"/>
    </w:rPr>
  </w:style>
  <w:style w:type="paragraph" w:styleId="Heading2">
    <w:name w:val="heading 2"/>
    <w:link w:val="Heading2Char"/>
    <w:uiPriority w:val="9"/>
    <w:unhideWhenUsed/>
    <w:qFormat/>
    <w:rsid w:val="0097618B"/>
    <w:pPr>
      <w:spacing w:after="0" w:line="240" w:lineRule="auto"/>
      <w:outlineLvl w:val="1"/>
    </w:pPr>
    <w:rPr>
      <w:rFonts w:ascii="Times New Roman" w:eastAsia="Times New Roman" w:hAnsi="Times New Roman" w:cs="Times New Roman"/>
      <w:color w:val="2E74B5"/>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0202A"/>
    <w:pPr>
      <w:ind w:left="720"/>
      <w:contextualSpacing/>
    </w:pPr>
  </w:style>
  <w:style w:type="character" w:styleId="Hyperlink">
    <w:name w:val="Hyperlink"/>
    <w:basedOn w:val="DefaultParagraphFont"/>
    <w:uiPriority w:val="99"/>
    <w:unhideWhenUsed/>
    <w:rsid w:val="008B329A"/>
    <w:rPr>
      <w:color w:val="0000FF"/>
      <w:u w:val="single"/>
    </w:rPr>
  </w:style>
  <w:style w:type="character" w:styleId="FollowedHyperlink">
    <w:name w:val="FollowedHyperlink"/>
    <w:basedOn w:val="DefaultParagraphFont"/>
    <w:uiPriority w:val="99"/>
    <w:semiHidden/>
    <w:unhideWhenUsed/>
    <w:rsid w:val="007843D7"/>
    <w:rPr>
      <w:color w:val="954F72" w:themeColor="followedHyperlink"/>
      <w:u w:val="single"/>
    </w:rPr>
  </w:style>
  <w:style w:type="character" w:styleId="UnresolvedMention">
    <w:name w:val="Unresolved Mention"/>
    <w:basedOn w:val="DefaultParagraphFont"/>
    <w:uiPriority w:val="99"/>
    <w:semiHidden/>
    <w:unhideWhenUsed/>
    <w:rsid w:val="00BC02D3"/>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86E7F"/>
    <w:rPr>
      <w:b/>
      <w:bCs/>
    </w:rPr>
  </w:style>
  <w:style w:type="character" w:customStyle="1" w:styleId="CommentSubjectChar">
    <w:name w:val="Comment Subject Char"/>
    <w:basedOn w:val="CommentTextChar"/>
    <w:link w:val="CommentSubject"/>
    <w:uiPriority w:val="99"/>
    <w:semiHidden/>
    <w:rsid w:val="00F86E7F"/>
    <w:rPr>
      <w:b/>
      <w:bCs/>
      <w:sz w:val="20"/>
      <w:szCs w:val="20"/>
    </w:rPr>
  </w:style>
  <w:style w:type="character" w:styleId="Mention">
    <w:name w:val="Mention"/>
    <w:basedOn w:val="DefaultParagraphFont"/>
    <w:uiPriority w:val="99"/>
    <w:unhideWhenUsed/>
    <w:rsid w:val="00F86E7F"/>
    <w:rPr>
      <w:color w:val="2B579A"/>
      <w:shd w:val="clear" w:color="auto" w:fill="E1DFDD"/>
    </w:rPr>
  </w:style>
  <w:style w:type="paragraph" w:styleId="Header">
    <w:name w:val="header"/>
    <w:basedOn w:val="Normal"/>
    <w:link w:val="HeaderChar"/>
    <w:uiPriority w:val="99"/>
    <w:unhideWhenUsed/>
    <w:rsid w:val="006E71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1EC"/>
  </w:style>
  <w:style w:type="paragraph" w:styleId="Footer">
    <w:name w:val="footer"/>
    <w:basedOn w:val="Normal"/>
    <w:link w:val="FooterChar"/>
    <w:uiPriority w:val="99"/>
    <w:unhideWhenUsed/>
    <w:rsid w:val="006E71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1EC"/>
  </w:style>
  <w:style w:type="character" w:customStyle="1" w:styleId="Heading1Char">
    <w:name w:val="Heading 1 Char"/>
    <w:basedOn w:val="DefaultParagraphFont"/>
    <w:link w:val="Heading1"/>
    <w:uiPriority w:val="9"/>
    <w:rsid w:val="0097618B"/>
    <w:rPr>
      <w:rFonts w:ascii="Times New Roman" w:eastAsia="Times New Roman" w:hAnsi="Times New Roman" w:cs="Times New Roman"/>
      <w:color w:val="2E74B5"/>
      <w:sz w:val="32"/>
      <w:szCs w:val="32"/>
      <w:lang w:val="en-US"/>
    </w:rPr>
  </w:style>
  <w:style w:type="character" w:customStyle="1" w:styleId="Heading2Char">
    <w:name w:val="Heading 2 Char"/>
    <w:basedOn w:val="DefaultParagraphFont"/>
    <w:link w:val="Heading2"/>
    <w:uiPriority w:val="9"/>
    <w:rsid w:val="0097618B"/>
    <w:rPr>
      <w:rFonts w:ascii="Times New Roman" w:eastAsia="Times New Roman" w:hAnsi="Times New Roman" w:cs="Times New Roman"/>
      <w:color w:val="2E74B5"/>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13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dfe849-a55c-446b-9bb9-3f241c25dc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014AE91D448F4BBA3A597A6E44C144" ma:contentTypeVersion="16" ma:contentTypeDescription="Create a new document." ma:contentTypeScope="" ma:versionID="e67020ae357ea7b5b5ae8d62dc3c9ea7">
  <xsd:schema xmlns:xsd="http://www.w3.org/2001/XMLSchema" xmlns:xs="http://www.w3.org/2001/XMLSchema" xmlns:p="http://schemas.microsoft.com/office/2006/metadata/properties" xmlns:ns2="93dfe849-a55c-446b-9bb9-3f241c25dc87" xmlns:ns3="6a505af2-c1da-42ed-b0e6-1ec06c18c376" targetNamespace="http://schemas.microsoft.com/office/2006/metadata/properties" ma:root="true" ma:fieldsID="8d0b7da9093eb65f129d0f4371eb9fe8" ns2:_="" ns3:_="">
    <xsd:import namespace="93dfe849-a55c-446b-9bb9-3f241c25dc87"/>
    <xsd:import namespace="6a505af2-c1da-42ed-b0e6-1ec06c18c3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fe849-a55c-446b-9bb9-3f241c25d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05af2-c1da-42ed-b0e6-1ec06c18c3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2DE46-E62A-4E24-BE72-4917DA1DBBAB}">
  <ds:schemaRefs>
    <ds:schemaRef ds:uri="http://schemas.microsoft.com/sharepoint/v3/contenttype/forms"/>
  </ds:schemaRefs>
</ds:datastoreItem>
</file>

<file path=customXml/itemProps2.xml><?xml version="1.0" encoding="utf-8"?>
<ds:datastoreItem xmlns:ds="http://schemas.openxmlformats.org/officeDocument/2006/customXml" ds:itemID="{2005191C-4B3C-4795-9C94-C4E1B938C54D}">
  <ds:schemaRefs>
    <ds:schemaRef ds:uri="http://schemas.microsoft.com/office/2006/metadata/properties"/>
    <ds:schemaRef ds:uri="http://schemas.microsoft.com/office/infopath/2007/PartnerControls"/>
    <ds:schemaRef ds:uri="93dfe849-a55c-446b-9bb9-3f241c25dc87"/>
  </ds:schemaRefs>
</ds:datastoreItem>
</file>

<file path=customXml/itemProps3.xml><?xml version="1.0" encoding="utf-8"?>
<ds:datastoreItem xmlns:ds="http://schemas.openxmlformats.org/officeDocument/2006/customXml" ds:itemID="{9D543638-5C53-4B69-B9F7-D4293BA85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fe849-a55c-446b-9bb9-3f241c25dc87"/>
    <ds:schemaRef ds:uri="6a505af2-c1da-42ed-b0e6-1ec06c18c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1640</Words>
  <Characters>8466</Characters>
  <Application>Microsoft Office Word</Application>
  <DocSecurity>0</DocSecurity>
  <Lines>126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10000</CharactersWithSpaces>
  <SharedDoc>false</SharedDoc>
  <HLinks>
    <vt:vector size="12" baseType="variant">
      <vt:variant>
        <vt:i4>852034</vt:i4>
      </vt:variant>
      <vt:variant>
        <vt:i4>3</vt:i4>
      </vt:variant>
      <vt:variant>
        <vt:i4>0</vt:i4>
      </vt:variant>
      <vt:variant>
        <vt:i4>5</vt:i4>
      </vt:variant>
      <vt:variant>
        <vt:lpwstr>https://fr.ifixit.com/Wiki/What_to_do_with_a_swollen_battery</vt:lpwstr>
      </vt:variant>
      <vt:variant>
        <vt:lpwstr/>
      </vt:variant>
      <vt:variant>
        <vt:i4>131159</vt:i4>
      </vt:variant>
      <vt:variant>
        <vt:i4>0</vt:i4>
      </vt:variant>
      <vt:variant>
        <vt:i4>0</vt:i4>
      </vt:variant>
      <vt:variant>
        <vt:i4>5</vt:i4>
      </vt:variant>
      <vt:variant>
        <vt:lpwstr>https://www.ifixit.com/Wiki/What_to_do_with_a_swollen_battery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Rolande Saliba</dc:creator>
  <cp:keywords/>
  <dc:description/>
  <cp:lastModifiedBy>Roger Steinberg</cp:lastModifiedBy>
  <cp:revision>2</cp:revision>
  <dcterms:created xsi:type="dcterms:W3CDTF">2026-08-20T19:17:00Z</dcterms:created>
  <dcterms:modified xsi:type="dcterms:W3CDTF">2026-08-20T19:17:00Z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0x01010043014AE91D448F4BBA3A597A6E44C144</vt:lpwstr>
  </property>
  <property fmtid="{D5CDD505-2E9C-101B-9397-08002B2CF9AE}" pid="3" name="GrammarlyDocumentId">
    <vt:lpwstr>f0d5960deb4c1aa3421e8d0bfcb17bfc95717d667d35a7d4f6cea411dfae00d4</vt:lpwstr>
  </property>
  <property fmtid="{D5CDD505-2E9C-101B-9397-08002B2CF9AE}" pid="4" name="MediaServiceImageTags">
    <vt:lpwstr/>
  </property>
</Properties>
</file>